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ind w:firstLine="466" w:firstLineChars="200"/>
        <w:jc w:val="both"/>
        <w:rPr>
          <w:rFonts w:hint="eastAsia" w:ascii="黑体" w:hAnsi="黑体" w:eastAsia="黑体" w:cs="黑体"/>
          <w:b/>
          <w:color w:val="000000"/>
          <w:spacing w:val="-10"/>
          <w:w w:val="90"/>
          <w:sz w:val="28"/>
          <w:szCs w:val="28"/>
        </w:rPr>
      </w:pPr>
      <w:r>
        <w:rPr>
          <w:rFonts w:hint="eastAsia" w:ascii="黑体" w:hAnsi="黑体" w:eastAsia="黑体" w:cs="黑体"/>
          <w:b/>
          <w:color w:val="000000"/>
          <w:spacing w:val="-10"/>
          <w:w w:val="90"/>
          <w:sz w:val="28"/>
          <w:szCs w:val="28"/>
        </w:rPr>
        <w:t>附件</w:t>
      </w:r>
      <w:r>
        <w:rPr>
          <w:rFonts w:hint="eastAsia" w:ascii="黑体" w:hAnsi="黑体" w:eastAsia="黑体" w:cs="黑体"/>
          <w:b/>
          <w:color w:val="000000"/>
          <w:spacing w:val="-10"/>
          <w:w w:val="90"/>
          <w:sz w:val="28"/>
          <w:szCs w:val="28"/>
          <w:lang w:val="en-US" w:eastAsia="zh-CN"/>
        </w:rPr>
        <w:t>1</w:t>
      </w:r>
      <w:r>
        <w:rPr>
          <w:rFonts w:hint="eastAsia" w:ascii="黑体" w:hAnsi="黑体" w:eastAsia="黑体" w:cs="黑体"/>
          <w:b/>
          <w:color w:val="000000"/>
          <w:spacing w:val="-10"/>
          <w:w w:val="90"/>
          <w:sz w:val="28"/>
          <w:szCs w:val="28"/>
        </w:rPr>
        <w:t>：</w:t>
      </w:r>
    </w:p>
    <w:p>
      <w:pPr>
        <w:spacing w:after="0" w:line="560" w:lineRule="exact"/>
        <w:ind w:firstLine="755" w:firstLineChars="200"/>
        <w:jc w:val="center"/>
        <w:rPr>
          <w:rFonts w:asciiTheme="majorEastAsia" w:hAnsiTheme="majorEastAsia" w:eastAsiaTheme="majorEastAsia"/>
          <w:b/>
          <w:color w:val="000000"/>
          <w:spacing w:val="-10"/>
          <w:w w:val="90"/>
          <w:sz w:val="44"/>
          <w:szCs w:val="44"/>
        </w:rPr>
      </w:pPr>
      <w:r>
        <w:rPr>
          <w:rFonts w:hint="eastAsia" w:asciiTheme="majorEastAsia" w:hAnsiTheme="majorEastAsia" w:eastAsiaTheme="majorEastAsia"/>
          <w:b/>
          <w:color w:val="000000"/>
          <w:spacing w:val="-10"/>
          <w:w w:val="90"/>
          <w:sz w:val="44"/>
          <w:szCs w:val="44"/>
        </w:rPr>
        <w:t>深圳市交通工程技术创新奖评选办法</w:t>
      </w:r>
    </w:p>
    <w:p>
      <w:pPr>
        <w:spacing w:after="0" w:line="560" w:lineRule="exact"/>
        <w:ind w:firstLine="608" w:firstLineChars="200"/>
        <w:jc w:val="both"/>
        <w:rPr>
          <w:rFonts w:ascii="仿宋" w:hAnsi="仿宋" w:eastAsia="仿宋"/>
          <w:color w:val="000000"/>
          <w:spacing w:val="-10"/>
          <w:w w:val="90"/>
          <w:sz w:val="36"/>
          <w:szCs w:val="36"/>
        </w:rPr>
      </w:pPr>
      <w:bookmarkStart w:id="0" w:name="_GoBack"/>
      <w:bookmarkEnd w:id="0"/>
    </w:p>
    <w:p>
      <w:pPr>
        <w:spacing w:after="0" w:line="560" w:lineRule="exact"/>
        <w:ind w:firstLine="643" w:firstLineChars="200"/>
        <w:jc w:val="center"/>
        <w:rPr>
          <w:rFonts w:ascii="仿宋_GB2312" w:hAnsi="华文仿宋" w:eastAsia="仿宋_GB2312"/>
          <w:b/>
          <w:color w:val="000000"/>
          <w:sz w:val="32"/>
          <w:szCs w:val="32"/>
        </w:rPr>
      </w:pPr>
    </w:p>
    <w:p>
      <w:pPr>
        <w:spacing w:beforeLines="50" w:after="0" w:line="560" w:lineRule="exact"/>
        <w:ind w:firstLine="640" w:firstLineChars="200"/>
        <w:jc w:val="center"/>
        <w:rPr>
          <w:rFonts w:ascii="黑体" w:hAnsi="黑体" w:eastAsia="黑体"/>
          <w:color w:val="000000"/>
          <w:sz w:val="32"/>
          <w:szCs w:val="32"/>
        </w:rPr>
      </w:pPr>
      <w:r>
        <w:rPr>
          <w:rFonts w:hint="eastAsia" w:ascii="黑体" w:hAnsi="黑体" w:eastAsia="黑体"/>
          <w:color w:val="000000"/>
          <w:sz w:val="32"/>
          <w:szCs w:val="32"/>
        </w:rPr>
        <w:t>第一章  总  则</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 xml:space="preserve">第一条 </w:t>
      </w:r>
      <w:r>
        <w:rPr>
          <w:rFonts w:hint="eastAsia" w:ascii="仿宋" w:hAnsi="仿宋" w:eastAsia="仿宋"/>
          <w:color w:val="000000"/>
          <w:sz w:val="32"/>
          <w:szCs w:val="32"/>
        </w:rPr>
        <w:t>为推动我市交通行业实施创新驱动发展战略，建立行业科技创新激励机制，鼓励在科技进步活动中作出突出贡献的企业和个人，深圳市城市交通协会（以下简称协会）设立交通工程技术创新奖。</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 xml:space="preserve">第二条 </w:t>
      </w:r>
      <w:r>
        <w:rPr>
          <w:rFonts w:hint="eastAsia" w:ascii="仿宋" w:hAnsi="仿宋" w:eastAsia="仿宋"/>
          <w:color w:val="000000"/>
          <w:sz w:val="32"/>
          <w:szCs w:val="32"/>
        </w:rPr>
        <w:t>根据国家和广东省有关技术创新的方针和政策，制定本办法。</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 xml:space="preserve">第三条 </w:t>
      </w:r>
      <w:r>
        <w:rPr>
          <w:rFonts w:hint="eastAsia" w:ascii="仿宋" w:hAnsi="仿宋" w:eastAsia="仿宋"/>
          <w:color w:val="000000"/>
          <w:sz w:val="32"/>
          <w:szCs w:val="32"/>
        </w:rPr>
        <w:t>交通工程技术创新奖授予我市本行业技术开发、重大工程、软科学研究（含标准规范）等方面有重大技术创新、技术发明，技术水平达到国内先进及以上的交通工程技术创新成果的企业和个人。</w:t>
      </w:r>
    </w:p>
    <w:p>
      <w:pPr>
        <w:spacing w:after="0" w:line="560" w:lineRule="exact"/>
        <w:ind w:firstLine="643" w:firstLineChars="200"/>
        <w:rPr>
          <w:rFonts w:ascii="仿宋" w:hAnsi="仿宋" w:eastAsia="仿宋"/>
          <w:sz w:val="32"/>
          <w:szCs w:val="32"/>
        </w:rPr>
      </w:pPr>
      <w:r>
        <w:rPr>
          <w:rFonts w:hint="eastAsia" w:ascii="仿宋" w:hAnsi="仿宋" w:eastAsia="仿宋"/>
          <w:b/>
          <w:color w:val="000000"/>
          <w:sz w:val="32"/>
          <w:szCs w:val="32"/>
        </w:rPr>
        <w:t>第四条</w:t>
      </w:r>
      <w:r>
        <w:rPr>
          <w:rFonts w:hint="eastAsia" w:ascii="仿宋" w:hAnsi="仿宋" w:eastAsia="仿宋"/>
          <w:sz w:val="32"/>
          <w:szCs w:val="32"/>
        </w:rPr>
        <w:t xml:space="preserve"> 评选活动贯彻尊重知识、尊重人才、崇尚科学的方针，遵循公开、公平、公正、公益的原则。不收取评审费用，由会员单位自愿申报，专家评审，社会监督。</w:t>
      </w:r>
    </w:p>
    <w:p>
      <w:pPr>
        <w:spacing w:beforeLines="50" w:after="0" w:line="560" w:lineRule="exact"/>
        <w:ind w:firstLine="640" w:firstLineChars="200"/>
        <w:jc w:val="center"/>
        <w:rPr>
          <w:rFonts w:ascii="黑体" w:hAnsi="黑体" w:eastAsia="黑体"/>
          <w:color w:val="000000"/>
          <w:sz w:val="32"/>
          <w:szCs w:val="32"/>
        </w:rPr>
      </w:pPr>
      <w:r>
        <w:rPr>
          <w:rFonts w:hint="eastAsia" w:ascii="黑体" w:hAnsi="黑体" w:eastAsia="黑体"/>
          <w:color w:val="000000"/>
          <w:sz w:val="32"/>
          <w:szCs w:val="32"/>
        </w:rPr>
        <w:t>第二章  组织机构</w:t>
      </w:r>
    </w:p>
    <w:p>
      <w:pPr>
        <w:spacing w:after="0" w:line="560" w:lineRule="exact"/>
        <w:ind w:firstLine="643" w:firstLineChars="200"/>
        <w:rPr>
          <w:rFonts w:ascii="仿宋" w:hAnsi="仿宋" w:eastAsia="仿宋"/>
          <w:sz w:val="32"/>
          <w:szCs w:val="28"/>
        </w:rPr>
      </w:pPr>
      <w:r>
        <w:rPr>
          <w:rFonts w:hint="eastAsia" w:ascii="仿宋" w:hAnsi="仿宋" w:eastAsia="仿宋"/>
          <w:b/>
          <w:color w:val="000000"/>
          <w:sz w:val="32"/>
          <w:szCs w:val="32"/>
        </w:rPr>
        <w:t>第五条</w:t>
      </w:r>
      <w:r>
        <w:rPr>
          <w:rFonts w:hint="eastAsia" w:ascii="仿宋" w:hAnsi="仿宋" w:eastAsia="仿宋"/>
          <w:sz w:val="32"/>
          <w:szCs w:val="32"/>
        </w:rPr>
        <w:t xml:space="preserve"> 深圳市城市交通协会负责</w:t>
      </w:r>
      <w:r>
        <w:rPr>
          <w:rFonts w:hint="eastAsia" w:ascii="仿宋" w:hAnsi="仿宋" w:eastAsia="仿宋"/>
          <w:color w:val="000000"/>
          <w:sz w:val="32"/>
          <w:szCs w:val="32"/>
        </w:rPr>
        <w:t>交通</w:t>
      </w:r>
      <w:r>
        <w:rPr>
          <w:rFonts w:hint="eastAsia" w:ascii="仿宋" w:hAnsi="仿宋" w:eastAsia="仿宋"/>
          <w:sz w:val="32"/>
          <w:szCs w:val="32"/>
        </w:rPr>
        <w:t>工程技术创新奖的申报受理、组织评审及日常管理工作，协会从专家库中遴选专家组成评审委员会。</w:t>
      </w:r>
    </w:p>
    <w:p>
      <w:pPr>
        <w:spacing w:after="0" w:line="560" w:lineRule="exact"/>
        <w:ind w:firstLine="643" w:firstLineChars="200"/>
        <w:rPr>
          <w:rFonts w:ascii="仿宋" w:hAnsi="仿宋" w:eastAsia="仿宋"/>
          <w:sz w:val="32"/>
          <w:szCs w:val="32"/>
        </w:rPr>
      </w:pPr>
      <w:r>
        <w:rPr>
          <w:rFonts w:hint="eastAsia" w:ascii="仿宋" w:hAnsi="仿宋" w:eastAsia="仿宋"/>
          <w:b/>
          <w:color w:val="000000"/>
          <w:sz w:val="32"/>
          <w:szCs w:val="32"/>
        </w:rPr>
        <w:t>第六条</w:t>
      </w:r>
      <w:r>
        <w:rPr>
          <w:rFonts w:hint="eastAsia" w:ascii="仿宋" w:hAnsi="仿宋" w:eastAsia="仿宋"/>
          <w:sz w:val="32"/>
          <w:szCs w:val="32"/>
        </w:rPr>
        <w:t xml:space="preserve"> 评审委员会设主任委员1人，副主任委员1~2人，委员若干人。评审委员会主任委员、副主任委员须具有正高级技术职称，委员须具有高级及以上技术职称，具备较高理论水平和丰富实践经验的资深专家。</w:t>
      </w:r>
    </w:p>
    <w:p>
      <w:pPr>
        <w:spacing w:beforeLines="50" w:after="0" w:line="560" w:lineRule="exact"/>
        <w:ind w:firstLine="640" w:firstLineChars="200"/>
        <w:jc w:val="center"/>
        <w:rPr>
          <w:rFonts w:ascii="黑体" w:hAnsi="黑体" w:eastAsia="黑体"/>
          <w:color w:val="000000"/>
          <w:sz w:val="32"/>
          <w:szCs w:val="32"/>
        </w:rPr>
      </w:pPr>
      <w:r>
        <w:rPr>
          <w:rFonts w:hint="eastAsia" w:ascii="黑体" w:hAnsi="黑体" w:eastAsia="黑体"/>
          <w:color w:val="000000"/>
          <w:sz w:val="32"/>
          <w:szCs w:val="32"/>
        </w:rPr>
        <w:t>第三章  范围与数量</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第七条</w:t>
      </w:r>
      <w:r>
        <w:rPr>
          <w:rFonts w:hint="eastAsia" w:ascii="仿宋" w:hAnsi="仿宋" w:eastAsia="仿宋"/>
          <w:color w:val="000000"/>
          <w:sz w:val="32"/>
          <w:szCs w:val="32"/>
        </w:rPr>
        <w:t xml:space="preserve"> 交通工程技术创新奖适用于我市交通行业（含港航、轨道）领域。包括规划、设计、建设实施、养护、运营管理等。</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第八条</w:t>
      </w:r>
      <w:r>
        <w:rPr>
          <w:rFonts w:hint="eastAsia" w:ascii="仿宋" w:hAnsi="仿宋" w:eastAsia="仿宋"/>
          <w:color w:val="000000"/>
          <w:sz w:val="32"/>
          <w:szCs w:val="32"/>
        </w:rPr>
        <w:t xml:space="preserve"> </w:t>
      </w:r>
      <w:r>
        <w:rPr>
          <w:rFonts w:ascii="仿宋" w:hAnsi="仿宋" w:eastAsia="仿宋"/>
          <w:color w:val="000000"/>
          <w:sz w:val="32"/>
          <w:szCs w:val="32"/>
        </w:rPr>
        <w:t>申报</w:t>
      </w:r>
      <w:r>
        <w:rPr>
          <w:rFonts w:hint="eastAsia" w:ascii="仿宋" w:hAnsi="仿宋" w:eastAsia="仿宋"/>
          <w:color w:val="000000"/>
          <w:sz w:val="32"/>
          <w:szCs w:val="32"/>
        </w:rPr>
        <w:t>交通工程</w:t>
      </w:r>
      <w:r>
        <w:rPr>
          <w:rFonts w:ascii="仿宋" w:hAnsi="仿宋" w:eastAsia="仿宋"/>
          <w:color w:val="000000"/>
          <w:sz w:val="32"/>
          <w:szCs w:val="32"/>
        </w:rPr>
        <w:t>技术创新奖的</w:t>
      </w:r>
      <w:r>
        <w:rPr>
          <w:rFonts w:hint="eastAsia" w:ascii="仿宋" w:hAnsi="仿宋" w:eastAsia="仿宋"/>
          <w:color w:val="000000"/>
          <w:sz w:val="32"/>
          <w:szCs w:val="32"/>
        </w:rPr>
        <w:t>第一完成</w:t>
      </w:r>
      <w:r>
        <w:rPr>
          <w:rFonts w:ascii="仿宋" w:hAnsi="仿宋" w:eastAsia="仿宋"/>
          <w:color w:val="000000"/>
          <w:sz w:val="32"/>
          <w:szCs w:val="32"/>
        </w:rPr>
        <w:t>单位，应当是</w:t>
      </w:r>
      <w:r>
        <w:rPr>
          <w:rFonts w:hint="eastAsia" w:ascii="仿宋" w:hAnsi="仿宋" w:eastAsia="仿宋"/>
          <w:color w:val="000000"/>
          <w:sz w:val="32"/>
          <w:szCs w:val="32"/>
        </w:rPr>
        <w:t>本协会会员单位</w:t>
      </w:r>
      <w:r>
        <w:rPr>
          <w:rFonts w:ascii="仿宋" w:hAnsi="仿宋" w:eastAsia="仿宋"/>
          <w:color w:val="000000"/>
          <w:sz w:val="32"/>
          <w:szCs w:val="32"/>
        </w:rPr>
        <w:t>，且其</w:t>
      </w:r>
      <w:r>
        <w:rPr>
          <w:rFonts w:hint="eastAsia" w:ascii="仿宋" w:hAnsi="仿宋" w:eastAsia="仿宋"/>
          <w:color w:val="000000"/>
          <w:sz w:val="32"/>
          <w:szCs w:val="32"/>
        </w:rPr>
        <w:t>技术创新</w:t>
      </w:r>
      <w:r>
        <w:rPr>
          <w:rFonts w:ascii="仿宋" w:hAnsi="仿宋" w:eastAsia="仿宋"/>
          <w:color w:val="000000"/>
          <w:sz w:val="32"/>
          <w:szCs w:val="32"/>
        </w:rPr>
        <w:t>成果</w:t>
      </w:r>
      <w:r>
        <w:rPr>
          <w:rFonts w:hint="eastAsia" w:ascii="仿宋" w:hAnsi="仿宋" w:eastAsia="仿宋"/>
          <w:color w:val="000000"/>
          <w:sz w:val="32"/>
          <w:szCs w:val="32"/>
        </w:rPr>
        <w:t>已经</w:t>
      </w:r>
      <w:r>
        <w:rPr>
          <w:rFonts w:ascii="仿宋" w:hAnsi="仿宋" w:eastAsia="仿宋"/>
          <w:color w:val="000000"/>
          <w:sz w:val="32"/>
          <w:szCs w:val="32"/>
        </w:rPr>
        <w:t>应用和推广。</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第九条</w:t>
      </w:r>
      <w:r>
        <w:rPr>
          <w:rFonts w:hint="eastAsia" w:ascii="仿宋" w:hAnsi="仿宋" w:eastAsia="仿宋"/>
          <w:color w:val="000000"/>
          <w:sz w:val="32"/>
          <w:szCs w:val="32"/>
        </w:rPr>
        <w:t xml:space="preserve"> 交通工程技术创新奖每二年评选一次，共设立特等奖、一等奖、二等奖3个奖励等级。若当年没有符合条件的项目，特等奖可以空缺。每届获奖项目数量为：特等奖原则上不超过2项；一等奖授奖项目不超过申报项目总数的20%；二等奖授奖项目不超过35%。</w:t>
      </w:r>
    </w:p>
    <w:p>
      <w:pPr>
        <w:spacing w:beforeLines="50" w:after="0" w:line="560" w:lineRule="exact"/>
        <w:ind w:firstLine="640" w:firstLineChars="200"/>
        <w:jc w:val="center"/>
        <w:rPr>
          <w:rFonts w:ascii="黑体" w:hAnsi="黑体" w:eastAsia="黑体"/>
          <w:color w:val="000000"/>
          <w:sz w:val="32"/>
          <w:szCs w:val="32"/>
        </w:rPr>
      </w:pPr>
      <w:r>
        <w:rPr>
          <w:rFonts w:hint="eastAsia" w:ascii="黑体" w:hAnsi="黑体" w:eastAsia="黑体"/>
          <w:color w:val="000000"/>
          <w:sz w:val="32"/>
          <w:szCs w:val="32"/>
        </w:rPr>
        <w:t>第四章  申报条件</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第十条</w:t>
      </w:r>
      <w:r>
        <w:rPr>
          <w:rFonts w:hint="eastAsia" w:ascii="仿宋" w:hAnsi="仿宋" w:eastAsia="仿宋"/>
          <w:color w:val="000000"/>
          <w:sz w:val="32"/>
          <w:szCs w:val="32"/>
        </w:rPr>
        <w:t xml:space="preserve"> 申报交通工程技术创新奖的技术创新成果应符合以下条件：</w:t>
      </w:r>
    </w:p>
    <w:p>
      <w:pPr>
        <w:spacing w:after="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w:t>
      </w:r>
      <w:r>
        <w:rPr>
          <w:rFonts w:ascii="仿宋" w:hAnsi="仿宋" w:eastAsia="仿宋"/>
          <w:color w:val="000000"/>
          <w:sz w:val="32"/>
          <w:szCs w:val="32"/>
        </w:rPr>
        <w:t>符合国家工程建设的方针、政策和法律、法规，严格执行工程建设强制性标准；</w:t>
      </w:r>
      <w:r>
        <w:rPr>
          <w:rFonts w:hint="eastAsia" w:ascii="仿宋" w:hAnsi="仿宋" w:eastAsia="仿宋"/>
          <w:color w:val="000000"/>
          <w:sz w:val="32"/>
          <w:szCs w:val="32"/>
        </w:rPr>
        <w:t>若</w:t>
      </w:r>
      <w:r>
        <w:rPr>
          <w:rFonts w:ascii="仿宋" w:hAnsi="仿宋" w:eastAsia="仿宋"/>
          <w:color w:val="000000"/>
          <w:sz w:val="32"/>
          <w:szCs w:val="32"/>
        </w:rPr>
        <w:t>采用突破国家技术标准的新技术、新工艺、新材料</w:t>
      </w:r>
      <w:r>
        <w:rPr>
          <w:rFonts w:hint="eastAsia" w:ascii="仿宋" w:hAnsi="仿宋" w:eastAsia="仿宋"/>
          <w:color w:val="000000"/>
          <w:sz w:val="32"/>
          <w:szCs w:val="32"/>
        </w:rPr>
        <w:t>的项目</w:t>
      </w:r>
      <w:r>
        <w:rPr>
          <w:rFonts w:ascii="仿宋" w:hAnsi="仿宋" w:eastAsia="仿宋"/>
          <w:color w:val="000000"/>
          <w:sz w:val="32"/>
          <w:szCs w:val="32"/>
        </w:rPr>
        <w:t>，</w:t>
      </w:r>
      <w:r>
        <w:rPr>
          <w:rFonts w:hint="eastAsia" w:ascii="仿宋" w:hAnsi="仿宋" w:eastAsia="仿宋"/>
          <w:color w:val="000000"/>
          <w:sz w:val="32"/>
          <w:szCs w:val="32"/>
        </w:rPr>
        <w:t>尚需</w:t>
      </w:r>
      <w:r>
        <w:rPr>
          <w:rFonts w:ascii="仿宋" w:hAnsi="仿宋" w:eastAsia="仿宋"/>
          <w:color w:val="000000"/>
          <w:sz w:val="32"/>
          <w:szCs w:val="32"/>
        </w:rPr>
        <w:t>按照规定通过技术鉴定；</w:t>
      </w:r>
    </w:p>
    <w:p>
      <w:pPr>
        <w:spacing w:after="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w:t>
      </w:r>
      <w:r>
        <w:rPr>
          <w:rFonts w:ascii="仿宋" w:hAnsi="仿宋" w:eastAsia="仿宋"/>
          <w:color w:val="000000"/>
          <w:sz w:val="32"/>
          <w:szCs w:val="32"/>
        </w:rPr>
        <w:t>、</w:t>
      </w:r>
      <w:r>
        <w:rPr>
          <w:rFonts w:hint="eastAsia" w:ascii="仿宋" w:hAnsi="仿宋" w:eastAsia="仿宋"/>
          <w:color w:val="000000"/>
          <w:sz w:val="32"/>
          <w:szCs w:val="32"/>
        </w:rPr>
        <w:t>重大工程项目必须</w:t>
      </w:r>
      <w:r>
        <w:rPr>
          <w:rFonts w:ascii="仿宋" w:hAnsi="仿宋" w:eastAsia="仿宋"/>
          <w:color w:val="000000"/>
          <w:sz w:val="32"/>
          <w:szCs w:val="32"/>
        </w:rPr>
        <w:t>符合国家基本建设程序，各项手续完备，</w:t>
      </w:r>
      <w:r>
        <w:rPr>
          <w:rFonts w:hint="eastAsia" w:ascii="仿宋" w:hAnsi="仿宋" w:eastAsia="仿宋"/>
          <w:color w:val="000000"/>
          <w:sz w:val="32"/>
          <w:szCs w:val="32"/>
        </w:rPr>
        <w:t>并</w:t>
      </w:r>
      <w:r>
        <w:rPr>
          <w:rFonts w:ascii="仿宋" w:hAnsi="仿宋" w:eastAsia="仿宋"/>
          <w:color w:val="000000"/>
          <w:sz w:val="32"/>
          <w:szCs w:val="32"/>
        </w:rPr>
        <w:t>取得相关审批和</w:t>
      </w:r>
      <w:r>
        <w:rPr>
          <w:rFonts w:hint="eastAsia" w:ascii="仿宋" w:hAnsi="仿宋" w:eastAsia="仿宋"/>
          <w:color w:val="000000"/>
          <w:sz w:val="32"/>
          <w:szCs w:val="32"/>
        </w:rPr>
        <w:t>竣工</w:t>
      </w:r>
      <w:r>
        <w:rPr>
          <w:rFonts w:ascii="仿宋" w:hAnsi="仿宋" w:eastAsia="仿宋"/>
          <w:color w:val="000000"/>
          <w:sz w:val="32"/>
          <w:szCs w:val="32"/>
        </w:rPr>
        <w:t>验收文件以及使用评价意见；</w:t>
      </w:r>
    </w:p>
    <w:p>
      <w:pPr>
        <w:spacing w:after="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3、技术开发类及软科学类具有独立知识产权，经济效益、社会效益显著，通过省(部、行业)及以上单位或本协会科技成果鉴定、达到国内先进及以上水平者，成果应用工程案例应不少于2项；</w:t>
      </w:r>
    </w:p>
    <w:p>
      <w:pPr>
        <w:spacing w:after="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4、交通工程技术创新成果包括：</w:t>
      </w:r>
    </w:p>
    <w:p>
      <w:pPr>
        <w:spacing w:after="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（1）通过技术创新，取得显著经济效益、社会效益；</w:t>
      </w:r>
    </w:p>
    <w:p>
      <w:pPr>
        <w:spacing w:after="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（2）在高、大、精、尖、特等交通工程的关键环节中有重大突破的自主创新技术；</w:t>
      </w:r>
    </w:p>
    <w:p>
      <w:pPr>
        <w:spacing w:after="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（3）对促进和实现交通行业现代化具有广泛推广应用价值的技术或管理研究成果；</w:t>
      </w:r>
    </w:p>
    <w:p>
      <w:pPr>
        <w:spacing w:after="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（4）引进、消化、吸收国外先进技术或设备，在实践中再创新形成的工艺、工法、技术发明和专利产品。</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第十一条</w:t>
      </w:r>
      <w:r>
        <w:rPr>
          <w:rFonts w:hint="eastAsia" w:ascii="仿宋" w:hAnsi="仿宋" w:eastAsia="仿宋"/>
          <w:color w:val="000000"/>
          <w:sz w:val="32"/>
          <w:szCs w:val="32"/>
        </w:rPr>
        <w:t xml:space="preserve"> </w:t>
      </w:r>
      <w:r>
        <w:rPr>
          <w:rFonts w:ascii="仿宋" w:hAnsi="仿宋" w:eastAsia="仿宋"/>
          <w:color w:val="000000"/>
          <w:sz w:val="32"/>
          <w:szCs w:val="32"/>
        </w:rPr>
        <w:t>申报项目存在知识产权纠纷的，在解决纠纷前不得推荐参加</w:t>
      </w:r>
      <w:r>
        <w:rPr>
          <w:rFonts w:hint="eastAsia" w:ascii="仿宋" w:hAnsi="仿宋" w:eastAsia="仿宋"/>
          <w:color w:val="000000"/>
          <w:sz w:val="32"/>
          <w:szCs w:val="32"/>
        </w:rPr>
        <w:t>交通工程</w:t>
      </w:r>
      <w:r>
        <w:rPr>
          <w:rFonts w:ascii="仿宋" w:hAnsi="仿宋" w:eastAsia="仿宋"/>
          <w:color w:val="000000"/>
          <w:sz w:val="32"/>
          <w:szCs w:val="32"/>
        </w:rPr>
        <w:t>技术创新奖评审。申报项目已获得省、部级以上科学技术奖励的，不再推荐参加</w:t>
      </w:r>
      <w:r>
        <w:rPr>
          <w:rFonts w:hint="eastAsia" w:ascii="仿宋" w:hAnsi="仿宋" w:eastAsia="仿宋"/>
          <w:color w:val="000000"/>
          <w:sz w:val="32"/>
          <w:szCs w:val="32"/>
        </w:rPr>
        <w:t>交通工程</w:t>
      </w:r>
      <w:r>
        <w:rPr>
          <w:rFonts w:ascii="仿宋" w:hAnsi="仿宋" w:eastAsia="仿宋"/>
          <w:color w:val="000000"/>
          <w:sz w:val="32"/>
          <w:szCs w:val="32"/>
        </w:rPr>
        <w:t>技术创新奖评审。</w:t>
      </w:r>
    </w:p>
    <w:p>
      <w:pPr>
        <w:spacing w:beforeLines="50" w:after="0" w:line="560" w:lineRule="exact"/>
        <w:ind w:firstLine="640" w:firstLineChars="200"/>
        <w:jc w:val="center"/>
        <w:rPr>
          <w:rFonts w:ascii="黑体" w:hAnsi="黑体" w:eastAsia="黑体"/>
          <w:color w:val="000000"/>
          <w:sz w:val="32"/>
          <w:szCs w:val="32"/>
        </w:rPr>
      </w:pPr>
      <w:r>
        <w:rPr>
          <w:rFonts w:hint="eastAsia" w:ascii="黑体" w:hAnsi="黑体" w:eastAsia="黑体"/>
          <w:color w:val="000000"/>
          <w:sz w:val="32"/>
          <w:szCs w:val="32"/>
        </w:rPr>
        <w:t>第五章  推荐与评审</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第十二条</w:t>
      </w:r>
      <w:r>
        <w:rPr>
          <w:rFonts w:hint="eastAsia" w:ascii="仿宋" w:hAnsi="仿宋" w:eastAsia="仿宋"/>
          <w:color w:val="000000"/>
          <w:sz w:val="32"/>
          <w:szCs w:val="32"/>
        </w:rPr>
        <w:t xml:space="preserve"> 申报交通工程技术创新奖,由申报单位填写《深圳市交通工程技术创新奖申报表》及项目相应证明材料，报送深圳市城市交通协会。</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第十三条</w:t>
      </w:r>
      <w:r>
        <w:rPr>
          <w:rFonts w:hint="eastAsia" w:ascii="仿宋" w:hAnsi="仿宋" w:eastAsia="仿宋"/>
          <w:color w:val="000000"/>
          <w:sz w:val="32"/>
          <w:szCs w:val="32"/>
        </w:rPr>
        <w:t xml:space="preserve"> 深圳市城市交通协会依照本办法规定的申报条件和要求进行初审。</w:t>
      </w:r>
      <w:r>
        <w:rPr>
          <w:rFonts w:ascii="仿宋" w:hAnsi="仿宋" w:eastAsia="仿宋"/>
          <w:color w:val="000000"/>
          <w:sz w:val="32"/>
          <w:szCs w:val="32"/>
        </w:rPr>
        <w:t>初</w:t>
      </w:r>
      <w:r>
        <w:rPr>
          <w:rFonts w:hint="eastAsia" w:ascii="仿宋" w:hAnsi="仿宋" w:eastAsia="仿宋"/>
          <w:color w:val="000000"/>
          <w:sz w:val="32"/>
          <w:szCs w:val="32"/>
        </w:rPr>
        <w:t>审</w:t>
      </w:r>
      <w:r>
        <w:rPr>
          <w:rFonts w:ascii="仿宋" w:hAnsi="仿宋" w:eastAsia="仿宋"/>
          <w:color w:val="000000"/>
          <w:sz w:val="32"/>
          <w:szCs w:val="32"/>
        </w:rPr>
        <w:t>结果</w:t>
      </w:r>
      <w:r>
        <w:rPr>
          <w:rFonts w:hint="eastAsia" w:ascii="仿宋" w:hAnsi="仿宋" w:eastAsia="仿宋"/>
          <w:color w:val="000000"/>
          <w:sz w:val="32"/>
          <w:szCs w:val="32"/>
        </w:rPr>
        <w:t>通过深圳市城市交通协会网站向社会公示</w:t>
      </w:r>
      <w:r>
        <w:rPr>
          <w:rFonts w:ascii="仿宋" w:hAnsi="仿宋" w:eastAsia="仿宋"/>
          <w:color w:val="000000"/>
          <w:sz w:val="32"/>
          <w:szCs w:val="32"/>
        </w:rPr>
        <w:t>。任何单位或个人对候选单位、项目或完成人有异议的，可自公示之日起</w:t>
      </w:r>
      <w:r>
        <w:rPr>
          <w:rFonts w:hint="eastAsia" w:ascii="仿宋" w:hAnsi="仿宋" w:eastAsia="仿宋"/>
          <w:color w:val="000000"/>
          <w:sz w:val="32"/>
          <w:szCs w:val="32"/>
        </w:rPr>
        <w:t>7</w:t>
      </w:r>
      <w:r>
        <w:rPr>
          <w:rFonts w:ascii="仿宋" w:hAnsi="仿宋" w:eastAsia="仿宋"/>
          <w:color w:val="000000"/>
          <w:sz w:val="32"/>
          <w:szCs w:val="32"/>
        </w:rPr>
        <w:t>日内以书面形式提出，并提供必要的证明材料。</w:t>
      </w:r>
      <w:r>
        <w:rPr>
          <w:rFonts w:hint="eastAsia" w:ascii="仿宋" w:hAnsi="仿宋" w:eastAsia="仿宋"/>
          <w:color w:val="000000"/>
          <w:sz w:val="32"/>
          <w:szCs w:val="32"/>
        </w:rPr>
        <w:t>深圳市城市交通协会</w:t>
      </w:r>
      <w:r>
        <w:rPr>
          <w:rFonts w:ascii="仿宋" w:hAnsi="仿宋" w:eastAsia="仿宋"/>
          <w:color w:val="000000"/>
          <w:sz w:val="32"/>
          <w:szCs w:val="32"/>
        </w:rPr>
        <w:t>应及时对异议进行核查处理，并在接到异议之日起</w:t>
      </w:r>
      <w:r>
        <w:rPr>
          <w:rFonts w:hint="eastAsia" w:ascii="仿宋" w:hAnsi="仿宋" w:eastAsia="仿宋"/>
          <w:color w:val="000000"/>
          <w:sz w:val="32"/>
          <w:szCs w:val="32"/>
        </w:rPr>
        <w:t>7</w:t>
      </w:r>
      <w:r>
        <w:rPr>
          <w:rFonts w:ascii="仿宋" w:hAnsi="仿宋" w:eastAsia="仿宋"/>
          <w:color w:val="000000"/>
          <w:sz w:val="32"/>
          <w:szCs w:val="32"/>
        </w:rPr>
        <w:t>日内，将核查处理情况书面告知提出异议的单位或个人。</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第十四条</w:t>
      </w:r>
      <w:r>
        <w:rPr>
          <w:rFonts w:hint="eastAsia" w:ascii="仿宋" w:hAnsi="仿宋" w:eastAsia="仿宋"/>
          <w:color w:val="000000"/>
          <w:sz w:val="32"/>
          <w:szCs w:val="32"/>
        </w:rPr>
        <w:t xml:space="preserve"> 对通过初审的技术创新成果，从专家库中遴选相应专家组成评审委员会各专业组（5人以上单数），按评审流程进行独立打分，专业组只打分、不投票。</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第十五条</w:t>
      </w:r>
      <w:r>
        <w:rPr>
          <w:rFonts w:hint="eastAsia" w:ascii="仿宋" w:hAnsi="仿宋" w:eastAsia="仿宋"/>
          <w:color w:val="000000"/>
          <w:sz w:val="32"/>
          <w:szCs w:val="32"/>
        </w:rPr>
        <w:t xml:space="preserve"> 对各专业组初评的技术创新成果获奖项目，评审委员会以投票方式进行表决，评审委员会只投票、不打分，得票率在三分之二以上的方可通过。</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第十六条</w:t>
      </w:r>
      <w:r>
        <w:rPr>
          <w:rFonts w:hint="eastAsia" w:ascii="仿宋" w:hAnsi="仿宋" w:eastAsia="仿宋"/>
          <w:color w:val="000000"/>
          <w:sz w:val="32"/>
          <w:szCs w:val="32"/>
        </w:rPr>
        <w:t xml:space="preserve"> 交通工程技术创新成果奖等级标准：</w:t>
      </w:r>
      <w:r>
        <w:rPr>
          <w:rFonts w:ascii="仿宋" w:hAnsi="仿宋" w:eastAsia="仿宋"/>
          <w:color w:val="000000"/>
          <w:sz w:val="32"/>
          <w:szCs w:val="32"/>
        </w:rPr>
        <w:t> </w:t>
      </w:r>
    </w:p>
    <w:p>
      <w:pPr>
        <w:spacing w:after="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特等奖：</w:t>
      </w:r>
      <w:r>
        <w:rPr>
          <w:rFonts w:ascii="仿宋" w:hAnsi="仿宋" w:eastAsia="仿宋"/>
          <w:color w:val="000000"/>
          <w:sz w:val="32"/>
          <w:szCs w:val="32"/>
        </w:rPr>
        <w:t>在创新方面有公认的突出成效，对推动行业技术发展具有重大影响；</w:t>
      </w:r>
      <w:r>
        <w:rPr>
          <w:rFonts w:hint="eastAsia" w:ascii="仿宋" w:hAnsi="仿宋" w:eastAsia="仿宋"/>
          <w:color w:val="000000"/>
          <w:sz w:val="32"/>
          <w:szCs w:val="32"/>
        </w:rPr>
        <w:t>对我市交通行业(或专业)在理念和技术上有革命性突破，体现我国交通工程建设领先科技水平；符合产业发展方向，有突出的经济和社会效益。</w:t>
      </w:r>
    </w:p>
    <w:p>
      <w:pPr>
        <w:spacing w:after="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一等奖：技术难度较大，其成果在国内交通工程建设某领域某个环节上有创新性突破，具有较显著的经济效益或社会效益，在行业有推广价值。</w:t>
      </w:r>
    </w:p>
    <w:p>
      <w:pPr>
        <w:spacing w:after="0"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二等奖：在技术和系统管理方面有一定创新，技术难度和工程复杂程度较大，取得了较大的经济效益和社会效益，对推动交通技术发展有较大意义。</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第十七条</w:t>
      </w:r>
      <w:r>
        <w:rPr>
          <w:rFonts w:hint="eastAsia" w:ascii="仿宋" w:hAnsi="仿宋" w:eastAsia="仿宋"/>
          <w:color w:val="000000"/>
          <w:sz w:val="32"/>
          <w:szCs w:val="32"/>
        </w:rPr>
        <w:t xml:space="preserve"> 评审委员会审定的获奖名单在深圳市城市交通协会网站上向社会公示，公示期为7日。</w:t>
      </w:r>
    </w:p>
    <w:p>
      <w:pPr>
        <w:spacing w:beforeLines="50" w:after="0" w:line="560" w:lineRule="exact"/>
        <w:ind w:firstLine="640" w:firstLineChars="200"/>
        <w:jc w:val="center"/>
        <w:rPr>
          <w:rFonts w:ascii="黑体" w:hAnsi="黑体" w:eastAsia="黑体"/>
          <w:color w:val="000000"/>
          <w:sz w:val="32"/>
          <w:szCs w:val="32"/>
        </w:rPr>
      </w:pPr>
      <w:r>
        <w:rPr>
          <w:rFonts w:hint="eastAsia" w:ascii="黑体" w:hAnsi="黑体" w:eastAsia="黑体"/>
          <w:color w:val="000000"/>
          <w:sz w:val="32"/>
          <w:szCs w:val="32"/>
        </w:rPr>
        <w:t xml:space="preserve">第六章  授奖 </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第十八条</w:t>
      </w:r>
      <w:r>
        <w:rPr>
          <w:rFonts w:hint="eastAsia" w:ascii="仿宋" w:hAnsi="仿宋" w:eastAsia="仿宋"/>
          <w:color w:val="000000"/>
          <w:sz w:val="32"/>
          <w:szCs w:val="32"/>
        </w:rPr>
        <w:t xml:space="preserve"> 深圳市城市交通协会每二年召开一次表彰大会，向获得交通工程技术创新奖的企业和个人颁发荣誉证书。</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第十九条</w:t>
      </w:r>
      <w:r>
        <w:rPr>
          <w:rFonts w:hint="eastAsia" w:ascii="仿宋" w:hAnsi="仿宋" w:eastAsia="仿宋"/>
          <w:color w:val="000000"/>
          <w:sz w:val="32"/>
          <w:szCs w:val="32"/>
        </w:rPr>
        <w:t xml:space="preserve"> 获奖项目奖励的主要完成单位和主要完成人的名额为：特等奖授奖项目，单项完成单位不超过9个，主要完成人不超过25人；一等奖授奖项目，单项完成单位不超过7个，主要完成人不超过15人；二等奖授奖项目，单项完成单位不超过5个，主要完成人不超过12人。</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第二十条</w:t>
      </w:r>
      <w:r>
        <w:rPr>
          <w:rFonts w:hint="eastAsia" w:ascii="仿宋" w:hAnsi="仿宋" w:eastAsia="仿宋"/>
          <w:color w:val="000000"/>
          <w:sz w:val="32"/>
          <w:szCs w:val="32"/>
        </w:rPr>
        <w:t xml:space="preserve"> 为交流和推广获得交通工程技术创新奖的单位和项目的经验与做法，全面促进交通行业科技进步与管理创新，深圳市城市交通协会依据有关规定组织编辑、出版技术创新成果专辑。</w:t>
      </w:r>
    </w:p>
    <w:p>
      <w:pPr>
        <w:spacing w:beforeLines="50" w:after="0" w:line="560" w:lineRule="exact"/>
        <w:ind w:firstLine="640" w:firstLineChars="200"/>
        <w:jc w:val="center"/>
        <w:rPr>
          <w:rFonts w:ascii="黑体" w:hAnsi="黑体" w:eastAsia="黑体"/>
          <w:color w:val="000000"/>
          <w:sz w:val="32"/>
          <w:szCs w:val="32"/>
        </w:rPr>
      </w:pPr>
      <w:r>
        <w:rPr>
          <w:rFonts w:hint="eastAsia" w:ascii="黑体" w:hAnsi="黑体" w:eastAsia="黑体"/>
          <w:color w:val="000000"/>
          <w:sz w:val="32"/>
          <w:szCs w:val="32"/>
        </w:rPr>
        <w:t>第七章  附  则</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第二十一条</w:t>
      </w:r>
      <w:r>
        <w:rPr>
          <w:rFonts w:hint="eastAsia" w:ascii="仿宋" w:hAnsi="仿宋" w:eastAsia="仿宋"/>
          <w:color w:val="000000"/>
          <w:sz w:val="32"/>
          <w:szCs w:val="32"/>
        </w:rPr>
        <w:t xml:space="preserve"> 对获得交通工程技术创新奖的单位或个人，如发现有弄虚作假或剽窃他人成果的，深圳市城市交通协会将撤销其荣誉并追回所发证书，并将相关情况告知主管部门；侵害他人利益，情节严重者，将建议有关部门追究其法律责任。</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第二十二条</w:t>
      </w:r>
      <w:r>
        <w:rPr>
          <w:rFonts w:hint="eastAsia" w:ascii="仿宋" w:hAnsi="仿宋" w:eastAsia="仿宋"/>
          <w:color w:val="000000"/>
          <w:sz w:val="32"/>
          <w:szCs w:val="32"/>
        </w:rPr>
        <w:t xml:space="preserve"> 本办法由深圳市城市交通协会负责解释。</w:t>
      </w:r>
    </w:p>
    <w:p>
      <w:pPr>
        <w:spacing w:after="0"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第二十三条</w:t>
      </w:r>
      <w:r>
        <w:rPr>
          <w:rFonts w:hint="eastAsia" w:ascii="仿宋" w:hAnsi="仿宋" w:eastAsia="仿宋"/>
          <w:color w:val="000000"/>
          <w:sz w:val="32"/>
          <w:szCs w:val="32"/>
        </w:rPr>
        <w:t xml:space="preserve"> 本办法自发布之日起施行。</w:t>
      </w:r>
    </w:p>
    <w:p>
      <w:pPr>
        <w:spacing w:after="0" w:line="560" w:lineRule="exact"/>
        <w:ind w:firstLine="640" w:firstLineChars="200"/>
        <w:rPr>
          <w:rFonts w:ascii="仿宋" w:hAnsi="仿宋" w:eastAsia="仿宋"/>
          <w:color w:val="000000"/>
          <w:sz w:val="32"/>
          <w:szCs w:val="32"/>
        </w:rPr>
      </w:pPr>
    </w:p>
    <w:p>
      <w:pPr>
        <w:spacing w:after="0" w:line="560" w:lineRule="exact"/>
        <w:jc w:val="center"/>
        <w:rPr>
          <w:rFonts w:ascii="宋体" w:hAnsi="宋体" w:eastAsia="宋体" w:cs="Times New Roman"/>
          <w:b/>
          <w:sz w:val="44"/>
          <w:szCs w:val="44"/>
        </w:rPr>
      </w:pPr>
    </w:p>
    <w:p>
      <w:pPr>
        <w:spacing w:after="0" w:line="560" w:lineRule="exact"/>
        <w:jc w:val="center"/>
        <w:rPr>
          <w:rFonts w:ascii="宋体" w:hAnsi="宋体" w:eastAsia="宋体" w:cs="Times New Roman"/>
          <w:b/>
          <w:sz w:val="44"/>
          <w:szCs w:val="44"/>
        </w:rPr>
      </w:pPr>
    </w:p>
    <w:p>
      <w:pPr>
        <w:spacing w:after="0" w:line="560" w:lineRule="exact"/>
        <w:jc w:val="center"/>
        <w:rPr>
          <w:rFonts w:ascii="宋体" w:hAnsi="宋体" w:eastAsia="宋体" w:cs="Times New Roman"/>
          <w:b/>
          <w:sz w:val="44"/>
          <w:szCs w:val="44"/>
        </w:rPr>
      </w:pPr>
    </w:p>
    <w:p>
      <w:pPr>
        <w:spacing w:after="0" w:line="560" w:lineRule="exact"/>
        <w:jc w:val="center"/>
        <w:rPr>
          <w:rFonts w:ascii="宋体" w:hAnsi="宋体" w:eastAsia="宋体" w:cs="Times New Roman"/>
          <w:b/>
          <w:sz w:val="44"/>
          <w:szCs w:val="44"/>
        </w:rPr>
      </w:pPr>
    </w:p>
    <w:p>
      <w:pPr>
        <w:spacing w:after="0" w:line="560" w:lineRule="exact"/>
        <w:jc w:val="center"/>
        <w:rPr>
          <w:rFonts w:ascii="宋体" w:hAnsi="宋体" w:eastAsia="宋体" w:cs="Times New Roman"/>
          <w:b/>
          <w:sz w:val="44"/>
          <w:szCs w:val="44"/>
        </w:rPr>
      </w:pPr>
    </w:p>
    <w:p>
      <w:pPr>
        <w:adjustRightInd/>
        <w:snapToGrid/>
        <w:spacing w:after="0"/>
        <w:rPr>
          <w:rFonts w:ascii="黑体" w:hAnsi="黑体" w:eastAsia="黑体"/>
          <w:b/>
          <w:spacing w:val="-14"/>
          <w:sz w:val="28"/>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MzkxYTQzODNhZGNlNGQ5MDI1ZTNiYTVhZTEwNWMifQ=="/>
  </w:docVars>
  <w:rsids>
    <w:rsidRoot w:val="00345E73"/>
    <w:rsid w:val="0003056A"/>
    <w:rsid w:val="00345E73"/>
    <w:rsid w:val="003D336D"/>
    <w:rsid w:val="00740AF8"/>
    <w:rsid w:val="00861770"/>
    <w:rsid w:val="00C10AA1"/>
    <w:rsid w:val="00F96D46"/>
    <w:rsid w:val="00FD639F"/>
    <w:rsid w:val="09810351"/>
    <w:rsid w:val="0E813D51"/>
    <w:rsid w:val="2F646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jc w:val="left"/>
    </w:pPr>
    <w:rPr>
      <w:rFonts w:ascii="Tahoma" w:hAnsi="Tahoma" w:eastAsia="微软雅黑" w:cstheme="minorBidi"/>
      <w:kern w:val="0"/>
      <w:sz w:val="22"/>
      <w:szCs w:val="21"/>
      <w:lang w:val="en-US" w:eastAsia="zh-CN" w:bidi="ar-SA"/>
    </w:rPr>
  </w:style>
  <w:style w:type="paragraph" w:styleId="2">
    <w:name w:val="heading 1"/>
    <w:basedOn w:val="1"/>
    <w:next w:val="1"/>
    <w:link w:val="9"/>
    <w:qFormat/>
    <w:uiPriority w:val="0"/>
    <w:pPr>
      <w:spacing w:before="100" w:beforeAutospacing="1" w:after="100" w:afterAutospacing="1"/>
      <w:jc w:val="center"/>
      <w:outlineLvl w:val="0"/>
    </w:pPr>
    <w:rPr>
      <w:rFonts w:ascii="宋体" w:hAnsi="宋体" w:eastAsia="宋体" w:cs="Times New Roman"/>
      <w:b/>
      <w:kern w:val="44"/>
      <w:sz w:val="44"/>
      <w:szCs w:val="48"/>
    </w:rPr>
  </w:style>
  <w:style w:type="paragraph" w:styleId="3">
    <w:name w:val="heading 2"/>
    <w:basedOn w:val="1"/>
    <w:next w:val="1"/>
    <w:link w:val="10"/>
    <w:unhideWhenUsed/>
    <w:qFormat/>
    <w:uiPriority w:val="9"/>
    <w:pPr>
      <w:keepNext/>
      <w:keepLines/>
      <w:spacing w:before="100" w:after="100"/>
      <w:ind w:firstLine="200" w:firstLineChars="200"/>
      <w:outlineLvl w:val="1"/>
    </w:pPr>
    <w:rPr>
      <w:rFonts w:ascii="Arial" w:hAnsi="Arial" w:eastAsia="宋体" w:cs="Times New Roman"/>
      <w:b/>
      <w:bCs/>
      <w:sz w:val="32"/>
      <w:szCs w:val="32"/>
    </w:rPr>
  </w:style>
  <w:style w:type="paragraph" w:styleId="4">
    <w:name w:val="heading 3"/>
    <w:basedOn w:val="1"/>
    <w:next w:val="1"/>
    <w:link w:val="11"/>
    <w:unhideWhenUsed/>
    <w:qFormat/>
    <w:uiPriority w:val="9"/>
    <w:pPr>
      <w:keepNext/>
      <w:keepLines/>
      <w:ind w:firstLine="200" w:firstLineChars="200"/>
      <w:outlineLvl w:val="2"/>
    </w:pPr>
    <w:rPr>
      <w:rFonts w:eastAsia="仿宋"/>
      <w:sz w:val="3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Plain Text"/>
    <w:basedOn w:val="1"/>
    <w:link w:val="12"/>
    <w:qFormat/>
    <w:uiPriority w:val="0"/>
    <w:pPr>
      <w:widowControl w:val="0"/>
      <w:adjustRightInd/>
      <w:snapToGrid/>
      <w:spacing w:after="0"/>
      <w:jc w:val="both"/>
    </w:pPr>
    <w:rPr>
      <w:rFonts w:ascii="宋体" w:hAnsi="Courier New" w:eastAsia="宋体" w:cs="Courier New"/>
      <w:kern w:val="2"/>
      <w:sz w:val="21"/>
    </w:rPr>
  </w:style>
  <w:style w:type="paragraph" w:styleId="6">
    <w:name w:val="Body Text Indent 3"/>
    <w:basedOn w:val="1"/>
    <w:link w:val="13"/>
    <w:semiHidden/>
    <w:unhideWhenUsed/>
    <w:qFormat/>
    <w:uiPriority w:val="99"/>
    <w:pPr>
      <w:spacing w:after="120"/>
      <w:ind w:left="420" w:leftChars="200"/>
    </w:pPr>
    <w:rPr>
      <w:sz w:val="16"/>
      <w:szCs w:val="16"/>
    </w:rPr>
  </w:style>
  <w:style w:type="character" w:customStyle="1" w:styleId="9">
    <w:name w:val="标题 1 Char"/>
    <w:basedOn w:val="8"/>
    <w:link w:val="2"/>
    <w:qFormat/>
    <w:uiPriority w:val="0"/>
    <w:rPr>
      <w:rFonts w:ascii="宋体" w:hAnsi="宋体" w:eastAsia="宋体" w:cs="Times New Roman"/>
      <w:b/>
      <w:kern w:val="44"/>
      <w:sz w:val="44"/>
      <w:szCs w:val="48"/>
    </w:rPr>
  </w:style>
  <w:style w:type="character" w:customStyle="1" w:styleId="10">
    <w:name w:val="标题 2 Char"/>
    <w:basedOn w:val="8"/>
    <w:link w:val="3"/>
    <w:uiPriority w:val="9"/>
    <w:rPr>
      <w:rFonts w:ascii="Arial" w:hAnsi="Arial" w:eastAsia="宋体" w:cs="Times New Roman"/>
      <w:b/>
      <w:bCs/>
      <w:sz w:val="32"/>
      <w:szCs w:val="32"/>
    </w:rPr>
  </w:style>
  <w:style w:type="character" w:customStyle="1" w:styleId="11">
    <w:name w:val="标题 3 Char"/>
    <w:link w:val="4"/>
    <w:qFormat/>
    <w:uiPriority w:val="9"/>
    <w:rPr>
      <w:rFonts w:eastAsia="仿宋" w:asciiTheme="minorHAnsi" w:hAnsiTheme="minorHAnsi" w:cstheme="minorBidi"/>
      <w:kern w:val="2"/>
      <w:sz w:val="30"/>
      <w:szCs w:val="22"/>
    </w:rPr>
  </w:style>
  <w:style w:type="character" w:customStyle="1" w:styleId="12">
    <w:name w:val="纯文本 Char"/>
    <w:basedOn w:val="8"/>
    <w:link w:val="5"/>
    <w:qFormat/>
    <w:uiPriority w:val="0"/>
    <w:rPr>
      <w:rFonts w:ascii="宋体" w:hAnsi="Courier New" w:eastAsia="宋体" w:cs="Courier New"/>
      <w:szCs w:val="21"/>
    </w:rPr>
  </w:style>
  <w:style w:type="character" w:customStyle="1" w:styleId="13">
    <w:name w:val="正文文本缩进 3 Char"/>
    <w:basedOn w:val="8"/>
    <w:link w:val="6"/>
    <w:semiHidden/>
    <w:qFormat/>
    <w:uiPriority w:val="99"/>
    <w:rPr>
      <w:rFonts w:ascii="Tahoma" w:hAnsi="Tahoma" w:eastAsia="微软雅黑"/>
      <w:kern w:val="0"/>
      <w:sz w:val="16"/>
      <w:szCs w:val="16"/>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2250</Words>
  <Characters>2259</Characters>
  <Lines>54</Lines>
  <Paragraphs>15</Paragraphs>
  <TotalTime>15</TotalTime>
  <ScaleCrop>false</ScaleCrop>
  <LinksUpToDate>false</LinksUpToDate>
  <CharactersWithSpaces>2302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2022-06-09T08:05:00Z</dcterms:created>
  <dc:creator>Administrator</dc:creator>
  <cp:lastModifiedBy>jtxh803-1</cp:lastModifiedBy>
  <dcterms:modified xsi:type="dcterms:W3CDTF">2022-06-10T07:00:40Z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8F20862F9E404D028C09509BC68A4A75</vt:lpwstr>
  </property>
</Properties>
</file>